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before="1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8yxgqpncx7ss" w:id="0"/>
      <w:bookmarkEnd w:id="0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Section 1: The Political Party Qualification Standards Act</w:t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before="1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xj9rr51vqb1k" w:id="1"/>
      <w:bookmarkEnd w:id="1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Section 2: Amendments to Title 10 Subtitle C Chapter 182 Section 182.003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Sec. 182.003.  QUALIFYING FOR PLACEMENT ON BALLOT.  To be entitled to have the names of its nominees placed on the general election ballot, a political party making nominations under this chapter must file with the county clerk, not later than the </w:t>
      </w:r>
      <w:r w:rsidDel="00000000" w:rsidR="00000000" w:rsidRPr="00000000">
        <w:rPr>
          <w:rFonts w:ascii="Times New Roman" w:cs="Times New Roman" w:eastAsia="Times New Roman" w:hAnsi="Times New Roman"/>
          <w:strike w:val="1"/>
          <w:sz w:val="24"/>
          <w:szCs w:val="24"/>
          <w:rtl w:val="0"/>
        </w:rPr>
        <w:t xml:space="preserve">75th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180th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day after the date of the precinct conventions held under this chapter, lists of precinct convention participants indicating that the number of participants equals at least </w:t>
      </w:r>
      <w:r w:rsidDel="00000000" w:rsidR="00000000" w:rsidRPr="00000000">
        <w:rPr>
          <w:rFonts w:ascii="Times New Roman" w:cs="Times New Roman" w:eastAsia="Times New Roman" w:hAnsi="Times New Roman"/>
          <w:strike w:val="1"/>
          <w:sz w:val="24"/>
          <w:szCs w:val="24"/>
          <w:rtl w:val="0"/>
        </w:rPr>
        <w:t xml:space="preserve">three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one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percent of the total number of votes received in the county by all candidates for governor in the most recent gubernatorial general election.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Section 3. If any provision of this act is found to be invalid, the remaining provisions shall remain in full force and effect.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Section 4. This act shall take effect upon passage.  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ind w:firstLine="84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D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3LsVVfa9XjzcU17QTlWilKQmIw==">CgMxLjAyDmguOHl4Z3FwbmN4N3NzMg5oLnhqOXJyNTF2cWIxazgAciExTjU3dUZiQ3lsckstbFpKTzh0THRMelIzZldFZ3FSbkg=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