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before="1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heading=h.netybhoo5oju" w:id="0"/>
      <w:bookmarkEnd w:id="0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Section 1: The Political Party Qualifications Act</w:t>
      </w:r>
    </w:p>
    <w:p w:rsidR="00000000" w:rsidDel="00000000" w:rsidP="00000000" w:rsidRDefault="00000000" w:rsidRPr="00000000" w14:paraId="00000002">
      <w:pPr>
        <w:pStyle w:val="Heading3"/>
        <w:keepNext w:val="0"/>
        <w:keepLines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before="1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heading=h.o0m01583ardn" w:id="1"/>
      <w:bookmarkEnd w:id="1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Section 2: Amendments to Title 17 Chapter 13 Article 2 Section 17-13-40</w:t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before="1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heading=h.ipg6xvisjy5a" w:id="2"/>
      <w:bookmarkEnd w:id="2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Section 17-13-40 “Political Party” Defined.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20" w:line="377.1432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 assemblage or organization of electors which, at the general election for state and county officers then next preceding the primary, casts more than </w:t>
      </w:r>
      <w:r w:rsidDel="00000000" w:rsidR="00000000" w:rsidRPr="00000000">
        <w:rPr>
          <w:rFonts w:ascii="Times New Roman" w:cs="Times New Roman" w:eastAsia="Times New Roman" w:hAnsi="Times New Roman"/>
          <w:strike w:val="1"/>
          <w:sz w:val="24"/>
          <w:szCs w:val="24"/>
          <w:rtl w:val="0"/>
        </w:rPr>
        <w:t xml:space="preserve">20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2%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percent of the entire vote cast in any county is hereby declared to be a political party within the meaning of this chapter within such county; and an assemblage or organization of electors which, at the general election for state officers then next preceding the primary, casts more than </w:t>
      </w:r>
      <w:r w:rsidDel="00000000" w:rsidR="00000000" w:rsidRPr="00000000">
        <w:rPr>
          <w:rFonts w:ascii="Times New Roman" w:cs="Times New Roman" w:eastAsia="Times New Roman" w:hAnsi="Times New Roman"/>
          <w:strike w:val="1"/>
          <w:sz w:val="24"/>
          <w:szCs w:val="24"/>
          <w:rtl w:val="0"/>
        </w:rPr>
        <w:t xml:space="preserve">20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2%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percent of the entire vote cast in the state is hereby declared to be a political party within the meaning of this chapter for such state.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Section 3. If any provision of this act is found to be invalid, the remaining provisions shall remain in full force and effect.</w:t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Section 4. This act shall take effect upon passage. </w:t>
      </w:r>
    </w:p>
    <w:sectPr>
      <w:foot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A">
    <w:pPr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Ti2NB+XV/TvBDrpCSp60ICfdkw==">CgMxLjAyDmgubmV0eWJob281b2p1Mg5oLm8wbTAxNTgzYXJkbjIOaC5pcGc2eHZpc2p5NWE4AHIhMXhHVEU0bTdnS3JaUTdfNHgtZ2tWX3drVmFnc0d0ZVRZ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