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140" w:lineRule="auto"/>
        <w:rPr>
          <w:rFonts w:ascii="Times New Roman" w:cs="Times New Roman" w:eastAsia="Times New Roman" w:hAnsi="Times New Roman"/>
          <w:color w:val="000000"/>
          <w:sz w:val="24"/>
          <w:szCs w:val="24"/>
        </w:rPr>
      </w:pPr>
      <w:bookmarkStart w:colFirst="0" w:colLast="0" w:name="_heading=h.hy070gy7psbq" w:id="0"/>
      <w:bookmarkEnd w:id="0"/>
      <w:r w:rsidDel="00000000" w:rsidR="00000000" w:rsidRPr="00000000">
        <w:rPr>
          <w:rFonts w:ascii="Times New Roman" w:cs="Times New Roman" w:eastAsia="Times New Roman" w:hAnsi="Times New Roman"/>
          <w:color w:val="000000"/>
          <w:sz w:val="24"/>
          <w:szCs w:val="24"/>
          <w:rtl w:val="0"/>
        </w:rPr>
        <w:t xml:space="preserve">Section 1: The Fair Ballot Access Act</w:t>
      </w:r>
    </w:p>
    <w:p w:rsidR="00000000" w:rsidDel="00000000" w:rsidP="00000000" w:rsidRDefault="00000000" w:rsidRPr="00000000" w14:paraId="00000002">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140" w:lineRule="auto"/>
        <w:rPr>
          <w:rFonts w:ascii="Times New Roman" w:cs="Times New Roman" w:eastAsia="Times New Roman" w:hAnsi="Times New Roman"/>
          <w:color w:val="000000"/>
          <w:sz w:val="24"/>
          <w:szCs w:val="24"/>
        </w:rPr>
      </w:pPr>
      <w:bookmarkStart w:colFirst="0" w:colLast="0" w:name="_heading=h.6jdqz7akliej" w:id="1"/>
      <w:bookmarkEnd w:id="1"/>
      <w:r w:rsidDel="00000000" w:rsidR="00000000" w:rsidRPr="00000000">
        <w:rPr>
          <w:rFonts w:ascii="Times New Roman" w:cs="Times New Roman" w:eastAsia="Times New Roman" w:hAnsi="Times New Roman"/>
          <w:color w:val="000000"/>
          <w:sz w:val="24"/>
          <w:szCs w:val="24"/>
          <w:rtl w:val="0"/>
        </w:rPr>
        <w:t xml:space="preserve">Section 2: Amendments to Title 17 Chapter 6 Article 2 Section 17-6-22</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hd w:fill="ffffff" w:val="clear"/>
        <w:spacing w:after="220" w:line="377.1432"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No political party, except those qualified as a political party under Chapter 13, shall be included on any general election ballot unless:</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fffff" w:val="clear"/>
        <w:spacing w:after="220" w:line="377.1432"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The party shall have filed with the Secretary of State or other appropriate official on the date of the first primary election a list of the signatures of at least</w:t>
      </w:r>
      <w:r w:rsidDel="00000000" w:rsidR="00000000" w:rsidRPr="00000000">
        <w:rPr>
          <w:rFonts w:ascii="Times New Roman" w:cs="Times New Roman" w:eastAsia="Times New Roman" w:hAnsi="Times New Roman"/>
          <w:strike w:val="1"/>
          <w:sz w:val="24"/>
          <w:szCs w:val="24"/>
          <w:rtl w:val="0"/>
        </w:rPr>
        <w:t xml:space="preserve"> three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one</w:t>
      </w:r>
      <w:r w:rsidDel="00000000" w:rsidR="00000000" w:rsidRPr="00000000">
        <w:rPr>
          <w:rFonts w:ascii="Times New Roman" w:cs="Times New Roman" w:eastAsia="Times New Roman" w:hAnsi="Times New Roman"/>
          <w:sz w:val="24"/>
          <w:szCs w:val="24"/>
          <w:rtl w:val="0"/>
        </w:rPr>
        <w:t xml:space="preserve"> percent of the qualified electors who cast ballots for the office of Governor in the last general election for the state, county, city, district, or other political subdivision in which the political party seeks to qualify candidates for office; and unless</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3. If any provision of this act is found to be invalid, the remaining provisions shall remain in full force and effect.</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4. This act shall take effect upon passage.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B">
    <w:pPr>
      <w:rPr>
        <w:rFonts w:ascii="Times New Roman" w:cs="Times New Roman" w:eastAsia="Times New Roman" w:hAnsi="Times New Roman"/>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A">
    <w:pPr>
      <w:rPr>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uG0BAF+FF9rTfVJBZOwCkyki1A==">CgMxLjAyDmguaHkwNzBneTdwc2JxMg5oLjZqZHF6N2FrbGllajgAciExNGNWM01ab3lQT1dwMFdmcUJBeUJlaGVkbkVaeU1jUUI=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